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C680" w14:textId="77777777" w:rsidR="00E00BCF" w:rsidRDefault="00E00BCF" w:rsidP="00E00B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</w:p>
    <w:p w14:paraId="2410DD64" w14:textId="77777777" w:rsidR="00E00BCF" w:rsidRDefault="00E00BCF" w:rsidP="00E00B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360A0458" w14:textId="77777777" w:rsidR="00E00BCF" w:rsidRDefault="00E00BCF" w:rsidP="00E00B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54E39400" w14:textId="77777777" w:rsidR="00E00BCF" w:rsidRDefault="00E00BCF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highlight w:val="yellow"/>
        </w:rPr>
      </w:pPr>
      <w:bookmarkStart w:id="0" w:name="_GoBack"/>
      <w:bookmarkEnd w:id="0"/>
    </w:p>
    <w:p w14:paraId="6CFB7E8B" w14:textId="77777777" w:rsidR="00E00BCF" w:rsidRDefault="00E00BCF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highlight w:val="yellow"/>
        </w:rPr>
      </w:pPr>
    </w:p>
    <w:p w14:paraId="742CE497" w14:textId="39B19705" w:rsidR="00AF3F6B" w:rsidRP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66523">
        <w:rPr>
          <w:rFonts w:ascii="Times New Roman" w:hAnsi="Times New Roman" w:cs="Times New Roman"/>
          <w:bCs/>
          <w:sz w:val="24"/>
          <w:szCs w:val="28"/>
          <w:highlight w:val="yellow"/>
        </w:rPr>
        <w:t>Referência conforme ABNT da obra. Ex.:</w:t>
      </w:r>
    </w:p>
    <w:p w14:paraId="0708E4FA" w14:textId="51F68BCC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E0B1A">
        <w:rPr>
          <w:rFonts w:ascii="Times New Roman" w:hAnsi="Times New Roman" w:cs="Times New Roman"/>
          <w:bCs/>
          <w:sz w:val="24"/>
          <w:szCs w:val="28"/>
        </w:rPr>
        <w:t xml:space="preserve">SOARES, Magda. </w:t>
      </w:r>
      <w:r w:rsidRPr="00AE0B1A">
        <w:rPr>
          <w:rFonts w:ascii="Times New Roman" w:hAnsi="Times New Roman" w:cs="Times New Roman"/>
          <w:b/>
          <w:sz w:val="24"/>
          <w:szCs w:val="28"/>
        </w:rPr>
        <w:t>Alfabetização e letramento</w:t>
      </w:r>
      <w:r w:rsidRPr="00AE0B1A">
        <w:rPr>
          <w:rFonts w:ascii="Times New Roman" w:hAnsi="Times New Roman" w:cs="Times New Roman"/>
          <w:bCs/>
          <w:sz w:val="24"/>
          <w:szCs w:val="28"/>
        </w:rPr>
        <w:t>. 2ª ed. São Paulo: Editora Contexto, 2015.</w:t>
      </w:r>
    </w:p>
    <w:p w14:paraId="7A5DEF5E" w14:textId="78F7F6F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BC9CE9F" w14:textId="3FFE8563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Exemplo:</w:t>
      </w:r>
    </w:p>
    <w:p w14:paraId="224FFF28" w14:textId="77777777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268E6D1" w14:textId="4C7D3AB2" w:rsidR="00C50C4E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aprendizagem da língua materna, quer escrita, quer oral, é um processo permanente, nunca interrompido. Entretanto, é preciso diferenciar um processo de aquisição da língua (oral e escrita) de um processo de desenvolvimento da língua (oral e escrita); este último é que, sem dúvida, nunca é interrompido”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15)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1D956B52" w14:textId="5E0DE698" w:rsidR="00BC7546" w:rsidRPr="00BC7546" w:rsidRDefault="00BC7546" w:rsidP="00BC7546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A autora considera que o processo de </w:t>
      </w:r>
      <w:r w:rsidR="00E96969">
        <w:rPr>
          <w:rFonts w:ascii="Times New Roman" w:hAnsi="Times New Roman" w:cs="Times New Roman"/>
          <w:bCs/>
          <w:sz w:val="24"/>
          <w:szCs w:val="28"/>
        </w:rPr>
        <w:t>aprendizagem</w:t>
      </w:r>
      <w:r>
        <w:rPr>
          <w:rFonts w:ascii="Times New Roman" w:hAnsi="Times New Roman" w:cs="Times New Roman"/>
          <w:bCs/>
          <w:sz w:val="24"/>
          <w:szCs w:val="28"/>
        </w:rPr>
        <w:t xml:space="preserve"> de línguas é contínuo, </w:t>
      </w:r>
      <w:r w:rsidR="00E96969">
        <w:rPr>
          <w:rFonts w:ascii="Times New Roman" w:hAnsi="Times New Roman" w:cs="Times New Roman"/>
          <w:bCs/>
          <w:sz w:val="24"/>
          <w:szCs w:val="28"/>
        </w:rPr>
        <w:t>portanto, aprende-se a todo momento. Contudo, há uma diferenciação entre aquisição e desenvolvimento de língua. Soares (2015) considera que, diferente de adquirir, o desenvolvimento, além de ininterrupto é contínuo, podendo o outro, portanto, cessar em algum momento.</w:t>
      </w:r>
    </w:p>
    <w:p w14:paraId="0B994B3E" w14:textId="77777777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BC9E8F0" w14:textId="56543B0C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alfabetização é um processo de representação de fonemas em grafemas, e vice-versa, mas é também um processo de compreensão/expressão de significados por meio do código escrito”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16)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786A0F6D" w14:textId="5DF1EAFC" w:rsidR="00E96969" w:rsidRPr="00E96969" w:rsidRDefault="00E96969" w:rsidP="00E9696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  <w:highlight w:val="yellow"/>
        </w:rPr>
      </w:pPr>
      <w:r w:rsidRPr="00E96969">
        <w:rPr>
          <w:rFonts w:ascii="Times New Roman" w:hAnsi="Times New Roman" w:cs="Times New Roman"/>
          <w:bCs/>
          <w:sz w:val="24"/>
          <w:szCs w:val="28"/>
          <w:highlight w:val="yellow"/>
        </w:rPr>
        <w:t>Seguir como no exemplo anterior.</w:t>
      </w:r>
    </w:p>
    <w:p w14:paraId="1CBA76D7" w14:textId="386DDFFC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A36A421" w14:textId="06989D18" w:rsidR="003E4916" w:rsidRPr="00C50C4E" w:rsidRDefault="003E4916" w:rsidP="003E49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Neste tipo de gênero, </w:t>
      </w:r>
      <w:r w:rsidR="00E96969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é selecionado não apenas trechos da obra, como há </w:t>
      </w: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comentários ou inserções</w:t>
      </w:r>
      <w:r w:rsidR="00E96969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 de quem faz o fichamento, ampliando a compreensão do dito</w:t>
      </w: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.</w:t>
      </w:r>
    </w:p>
    <w:sectPr w:rsidR="003E4916" w:rsidRPr="00C50C4E" w:rsidSect="00C76306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E0EF" w14:textId="77777777" w:rsidR="00736014" w:rsidRDefault="00736014" w:rsidP="00423FF1">
      <w:pPr>
        <w:spacing w:after="0" w:line="240" w:lineRule="auto"/>
      </w:pPr>
      <w:r>
        <w:separator/>
      </w:r>
    </w:p>
  </w:endnote>
  <w:endnote w:type="continuationSeparator" w:id="0">
    <w:p w14:paraId="0AF4D26C" w14:textId="77777777" w:rsidR="00736014" w:rsidRDefault="00736014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D1F8" w14:textId="77777777" w:rsidR="00736014" w:rsidRDefault="00736014" w:rsidP="00423FF1">
      <w:pPr>
        <w:spacing w:after="0" w:line="240" w:lineRule="auto"/>
      </w:pPr>
      <w:r>
        <w:separator/>
      </w:r>
    </w:p>
  </w:footnote>
  <w:footnote w:type="continuationSeparator" w:id="0">
    <w:p w14:paraId="24212B96" w14:textId="77777777" w:rsidR="00736014" w:rsidRDefault="00736014" w:rsidP="00423FF1">
      <w:pPr>
        <w:spacing w:after="0" w:line="240" w:lineRule="auto"/>
      </w:pPr>
      <w:r>
        <w:continuationSeparator/>
      </w:r>
    </w:p>
  </w:footnote>
  <w:footnote w:id="1">
    <w:p w14:paraId="39557498" w14:textId="77777777" w:rsidR="00E00BCF" w:rsidRPr="00AF3F6B" w:rsidRDefault="00E00BCF" w:rsidP="00E00BCF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14:paraId="1E66AFC8" w14:textId="77777777" w:rsidR="00E00BCF" w:rsidRPr="00AF3F6B" w:rsidRDefault="00E00BCF" w:rsidP="00E00BCF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F855" w14:textId="77777777" w:rsidR="00C76306" w:rsidRPr="00FB187D" w:rsidRDefault="00C76306" w:rsidP="00C7630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86D31" wp14:editId="1621DCC6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ascii="Times New Roman" w:hAnsi="Times New Roman" w:cs="Times New Roman"/>
        <w:b/>
        <w:sz w:val="24"/>
        <w:szCs w:val="24"/>
      </w:rPr>
      <w:t>Centro Universitário de Goiás – U</w:t>
    </w:r>
    <w:r>
      <w:rPr>
        <w:rFonts w:ascii="Times New Roman" w:hAnsi="Times New Roman" w:cs="Times New Roman"/>
        <w:b/>
        <w:sz w:val="24"/>
        <w:szCs w:val="24"/>
      </w:rPr>
      <w:t>NIGOIÁS</w:t>
    </w:r>
  </w:p>
  <w:p w14:paraId="36A08E33" w14:textId="77777777" w:rsidR="00C76306" w:rsidRPr="00FB187D" w:rsidRDefault="00C76306" w:rsidP="00C7630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487C12A5" w14:textId="77777777" w:rsidR="00C76306" w:rsidRPr="00FB187D" w:rsidRDefault="00C76306" w:rsidP="00C7630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Supervisão da Área de Pesquisa Científica - SAPC</w:t>
    </w:r>
  </w:p>
  <w:p w14:paraId="5AE40ECB" w14:textId="77777777" w:rsidR="00C76306" w:rsidRPr="00FB187D" w:rsidRDefault="00C76306" w:rsidP="00C7630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B41"/>
    <w:multiLevelType w:val="hybridMultilevel"/>
    <w:tmpl w:val="2FBCA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E4916"/>
    <w:rsid w:val="003F6B22"/>
    <w:rsid w:val="0041433C"/>
    <w:rsid w:val="00423FF1"/>
    <w:rsid w:val="004340A0"/>
    <w:rsid w:val="00435C5A"/>
    <w:rsid w:val="00444D2B"/>
    <w:rsid w:val="00452CE6"/>
    <w:rsid w:val="00466523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05B75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36014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0B1A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C7546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50C4E"/>
    <w:rsid w:val="00C67AF0"/>
    <w:rsid w:val="00C71241"/>
    <w:rsid w:val="00C76306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7191"/>
    <w:rsid w:val="00DF0DD3"/>
    <w:rsid w:val="00E00BCF"/>
    <w:rsid w:val="00E0368C"/>
    <w:rsid w:val="00E76092"/>
    <w:rsid w:val="00E874A2"/>
    <w:rsid w:val="00E94FAC"/>
    <w:rsid w:val="00E96969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C05D6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81D0-ED0E-46AA-AE4B-D5D2DF1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5</cp:revision>
  <dcterms:created xsi:type="dcterms:W3CDTF">2020-02-06T13:13:00Z</dcterms:created>
  <dcterms:modified xsi:type="dcterms:W3CDTF">2020-08-03T12:26:00Z</dcterms:modified>
</cp:coreProperties>
</file>